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1639" w:rsidRPr="00E25735" w:rsidRDefault="00011639" w:rsidP="00011639">
      <w:pPr>
        <w:pStyle w:val="Nadpis2"/>
        <w:autoSpaceDE w:val="0"/>
        <w:autoSpaceDN w:val="0"/>
        <w:adjustRightInd w:val="0"/>
        <w:spacing w:line="274" w:lineRule="exact"/>
      </w:pPr>
      <w:bookmarkStart w:id="0" w:name="_Toc403650767"/>
      <w:r>
        <w:t xml:space="preserve">Príloha č. </w:t>
      </w:r>
      <w:r w:rsidR="007D042B">
        <w:t>21</w:t>
      </w:r>
      <w:bookmarkStart w:id="1" w:name="_GoBack"/>
      <w:bookmarkEnd w:id="1"/>
      <w:r>
        <w:t xml:space="preserve"> Vysvetlivky</w:t>
      </w:r>
      <w:bookmarkEnd w:id="0"/>
    </w:p>
    <w:p w:rsidR="00011639" w:rsidRDefault="00011639" w:rsidP="00011639">
      <w:pPr>
        <w:pStyle w:val="Textvysvetlivky"/>
      </w:pPr>
    </w:p>
    <w:p w:rsidR="00011639" w:rsidRDefault="00011639" w:rsidP="00011639">
      <w:pPr>
        <w:pStyle w:val="Textvysvetlivky"/>
      </w:pPr>
      <w:r>
        <w:rPr>
          <w:rStyle w:val="Odkaznavysvetlivku"/>
        </w:rPr>
        <w:footnoteRef/>
      </w:r>
      <w:r>
        <w:t xml:space="preserve"> </w:t>
      </w:r>
      <w:r w:rsidRPr="00354EFD">
        <w:rPr>
          <w:sz w:val="16"/>
          <w:szCs w:val="16"/>
        </w:rPr>
        <w:t>V zmysle nariadenia Európskeho parlamentu a Rady (EÚ) č. 1303/2012 do skupiny EŠIF patria: ESF, EFRR, KF, ENRF a EPFRV. Stratégia OP TP je zameraná na plnenie úloh pre oblasť politiky súdržnosti, ktorá nezahŕňa ENRF a EPFRV. % oprávnenosti horizontálnych aktivít spoločných pre EŠIF, vrátane ENFR, EPFRV bude pomerne vyrátané. Spôsob výpočtu bude definovaný v riadiacej dokumentácii OP TP.</w:t>
      </w:r>
    </w:p>
    <w:p w:rsidR="00011639" w:rsidRDefault="00011639" w:rsidP="00011639">
      <w:pPr>
        <w:pStyle w:val="Textvysvetlivky"/>
      </w:pPr>
      <w:r>
        <w:rPr>
          <w:rStyle w:val="Odkaznavysvetlivku"/>
        </w:rPr>
        <w:t>2</w:t>
      </w:r>
      <w:r>
        <w:t xml:space="preserve"> </w:t>
      </w:r>
      <w:r w:rsidRPr="00112DB0">
        <w:rPr>
          <w:sz w:val="16"/>
          <w:szCs w:val="16"/>
        </w:rPr>
        <w:t>Vec C-480/06, Komisia/Nemecko, Zb. 2009, s. I-04747, ods. 33;</w:t>
      </w:r>
    </w:p>
    <w:p w:rsidR="00011639" w:rsidRPr="00112DB0" w:rsidRDefault="00011639" w:rsidP="00011639">
      <w:pPr>
        <w:pStyle w:val="Textpoznmkypodiarou"/>
        <w:rPr>
          <w:sz w:val="16"/>
          <w:szCs w:val="16"/>
        </w:rPr>
      </w:pPr>
      <w:r>
        <w:rPr>
          <w:rStyle w:val="Odkaznavysvetlivku"/>
          <w:rFonts w:ascii="Times New Roman" w:eastAsia="Calibri" w:hAnsi="Times New Roman"/>
          <w:sz w:val="20"/>
          <w:szCs w:val="20"/>
        </w:rPr>
        <w:t>3</w:t>
      </w:r>
      <w:r>
        <w:t xml:space="preserve"> </w:t>
      </w:r>
      <w:r w:rsidRPr="00112DB0">
        <w:rPr>
          <w:sz w:val="16"/>
          <w:szCs w:val="16"/>
        </w:rPr>
        <w:t>Súdny dvor v rozsudku Hamburg poukázal na „verejné orgány“, ale podľa názoru útvarov</w:t>
      </w:r>
      <w:r>
        <w:rPr>
          <w:sz w:val="16"/>
          <w:szCs w:val="16"/>
        </w:rPr>
        <w:t xml:space="preserve"> </w:t>
      </w:r>
      <w:r w:rsidRPr="00112DB0">
        <w:rPr>
          <w:sz w:val="16"/>
          <w:szCs w:val="16"/>
        </w:rPr>
        <w:t>Komisie by takáto horizontálna spolupráca mohla byť otvorená pre všetky kategórie verejných</w:t>
      </w:r>
      <w:r>
        <w:rPr>
          <w:sz w:val="16"/>
          <w:szCs w:val="16"/>
        </w:rPr>
        <w:t xml:space="preserve"> </w:t>
      </w:r>
      <w:r w:rsidRPr="00112DB0">
        <w:rPr>
          <w:sz w:val="16"/>
          <w:szCs w:val="16"/>
        </w:rPr>
        <w:t>obstarávateľov, t. j. aj pre orgány riadené verejným právom. Na druhej strane logickým</w:t>
      </w:r>
    </w:p>
    <w:p w:rsidR="00011639" w:rsidRDefault="00011639" w:rsidP="00011639">
      <w:pPr>
        <w:pStyle w:val="Textvysvetlivky"/>
      </w:pPr>
      <w:r w:rsidRPr="00112DB0">
        <w:rPr>
          <w:sz w:val="16"/>
          <w:szCs w:val="16"/>
        </w:rPr>
        <w:t>dôsledkom kritéria</w:t>
      </w:r>
      <w:r>
        <w:rPr>
          <w:sz w:val="16"/>
          <w:szCs w:val="16"/>
        </w:rPr>
        <w:t xml:space="preserve"> je</w:t>
      </w:r>
      <w:r w:rsidRPr="00112DB0">
        <w:rPr>
          <w:sz w:val="16"/>
          <w:szCs w:val="16"/>
        </w:rPr>
        <w:t>, že do takejto horizontálnej spolupráce by sa nemal zahrnúť žiadny súkromný</w:t>
      </w:r>
      <w:r>
        <w:rPr>
          <w:sz w:val="16"/>
          <w:szCs w:val="16"/>
        </w:rPr>
        <w:t xml:space="preserve"> </w:t>
      </w:r>
      <w:r w:rsidRPr="005B0328">
        <w:rPr>
          <w:sz w:val="16"/>
          <w:szCs w:val="16"/>
        </w:rPr>
        <w:t>kapitál</w:t>
      </w:r>
      <w:r>
        <w:rPr>
          <w:sz w:val="16"/>
          <w:szCs w:val="16"/>
        </w:rPr>
        <w:t>.</w:t>
      </w:r>
    </w:p>
    <w:p w:rsidR="00011639" w:rsidRDefault="00011639" w:rsidP="00011639">
      <w:pPr>
        <w:pStyle w:val="Textvysvetlivky"/>
        <w:rPr>
          <w:rFonts w:cs="Calibri"/>
          <w:sz w:val="16"/>
          <w:szCs w:val="16"/>
        </w:rPr>
      </w:pPr>
      <w:r>
        <w:rPr>
          <w:rStyle w:val="Odkaznavysvetlivku"/>
        </w:rPr>
        <w:t>4</w:t>
      </w:r>
      <w:r>
        <w:t xml:space="preserve"> </w:t>
      </w:r>
      <w:r w:rsidRPr="00DC1B2E">
        <w:rPr>
          <w:rFonts w:cs="Calibri"/>
          <w:sz w:val="16"/>
          <w:szCs w:val="16"/>
        </w:rPr>
        <w:t>Zdroj: OP TP na roky 2007-2013, prvá revidovaná verzia. Bratislava, december 2011.</w:t>
      </w:r>
    </w:p>
    <w:p w:rsidR="00011639" w:rsidRDefault="00011639" w:rsidP="00011639">
      <w:pPr>
        <w:pStyle w:val="Textvysvetlivky"/>
      </w:pPr>
      <w:r>
        <w:rPr>
          <w:rStyle w:val="Odkaznavysvetlivku"/>
        </w:rPr>
        <w:t>5</w:t>
      </w:r>
      <w:r>
        <w:t xml:space="preserve"> </w:t>
      </w:r>
      <w:r w:rsidRPr="00DC1B2E">
        <w:rPr>
          <w:rFonts w:cs="Calibri"/>
          <w:sz w:val="16"/>
          <w:szCs w:val="16"/>
        </w:rPr>
        <w:t xml:space="preserve">Zdroj: OP TP na roky 2007-2013, prvá revidovaná verzia. Bratislava, december 2011; </w:t>
      </w:r>
      <w:hyperlink r:id="rId6" w:history="1">
        <w:r w:rsidRPr="00DC1B2E">
          <w:rPr>
            <w:rFonts w:cs="Calibri"/>
            <w:sz w:val="16"/>
            <w:szCs w:val="16"/>
          </w:rPr>
          <w:t>http://www.vlada.gov.sk/aktivity-podporovane-z-op-tp/</w:t>
        </w:r>
      </w:hyperlink>
    </w:p>
    <w:p w:rsidR="00011639" w:rsidRDefault="00011639" w:rsidP="00011639">
      <w:pPr>
        <w:pStyle w:val="Textvysvetlivky"/>
        <w:rPr>
          <w:rFonts w:cs="Calibri"/>
          <w:sz w:val="16"/>
          <w:szCs w:val="16"/>
        </w:rPr>
      </w:pPr>
      <w:r>
        <w:rPr>
          <w:rStyle w:val="Odkaznavysvetlivku"/>
        </w:rPr>
        <w:t>6</w:t>
      </w:r>
      <w:r>
        <w:t xml:space="preserve"> </w:t>
      </w:r>
      <w:r w:rsidRPr="00DC1B2E">
        <w:rPr>
          <w:rFonts w:cs="Calibri"/>
          <w:sz w:val="16"/>
          <w:szCs w:val="16"/>
        </w:rPr>
        <w:t>Zdroj: Výročná správa o vykonávaní operačného programu Technická pomoc za rok 2011. Bratislava, september 2012, str. 5.</w:t>
      </w:r>
    </w:p>
    <w:p w:rsidR="00011639" w:rsidRDefault="00011639" w:rsidP="00011639">
      <w:pPr>
        <w:pStyle w:val="Textvysvetlivky"/>
      </w:pPr>
      <w:r>
        <w:rPr>
          <w:rStyle w:val="Odkaznavysvetlivku"/>
        </w:rPr>
        <w:t>7</w:t>
      </w:r>
      <w:r>
        <w:t xml:space="preserve"> </w:t>
      </w:r>
      <w:r w:rsidRPr="00354EFD">
        <w:rPr>
          <w:sz w:val="16"/>
          <w:szCs w:val="16"/>
        </w:rPr>
        <w:t>Hodnotenie implementácie operačného programu Technická pomoc, záverečná hodnotiaca správa, s. 17-18. Prístupné na webovej stránke: http://www.vlada.gov.sk/data/att/12602_subor.zip</w:t>
      </w:r>
    </w:p>
    <w:p w:rsidR="00011639" w:rsidRDefault="00011639" w:rsidP="00011639">
      <w:pPr>
        <w:pStyle w:val="Textvysvetlivky"/>
        <w:rPr>
          <w:sz w:val="16"/>
          <w:szCs w:val="16"/>
        </w:rPr>
      </w:pPr>
      <w:r>
        <w:rPr>
          <w:rStyle w:val="Odkaznavysvetlivku"/>
        </w:rPr>
        <w:t>8</w:t>
      </w:r>
      <w:r>
        <w:t xml:space="preserve"> </w:t>
      </w:r>
      <w:r w:rsidRPr="00354EFD">
        <w:rPr>
          <w:sz w:val="16"/>
          <w:szCs w:val="16"/>
        </w:rPr>
        <w:t xml:space="preserve">Pravidlá na zadávanie tzv. </w:t>
      </w:r>
      <w:proofErr w:type="spellStart"/>
      <w:r w:rsidRPr="00354EFD">
        <w:rPr>
          <w:sz w:val="16"/>
          <w:szCs w:val="16"/>
        </w:rPr>
        <w:t>in-house</w:t>
      </w:r>
      <w:proofErr w:type="spellEnd"/>
      <w:r w:rsidRPr="00354EFD">
        <w:rPr>
          <w:sz w:val="16"/>
          <w:szCs w:val="16"/>
        </w:rPr>
        <w:t xml:space="preserve"> zákaziek budú určené v súlade s príslušnou smernicou EÚ o verejnom obstarávaní 2014/24/EÚ, ktorá bude v zákonnej lehote transponovaná do národnej legislatívy – zákona o verejnom obstarávaní. Ďalšie podmienky aplikácie </w:t>
      </w:r>
      <w:proofErr w:type="spellStart"/>
      <w:r w:rsidRPr="00354EFD">
        <w:rPr>
          <w:sz w:val="16"/>
          <w:szCs w:val="16"/>
        </w:rPr>
        <w:t>in-house</w:t>
      </w:r>
      <w:proofErr w:type="spellEnd"/>
      <w:r w:rsidRPr="00354EFD">
        <w:rPr>
          <w:sz w:val="16"/>
          <w:szCs w:val="16"/>
        </w:rPr>
        <w:t xml:space="preserve"> zákaziek budú uvedené v rámci Systéme riadenia a v riadiacej dokumentácii príslušných RO.</w:t>
      </w:r>
    </w:p>
    <w:p w:rsidR="00011639" w:rsidRPr="00112DB0" w:rsidRDefault="00011639" w:rsidP="00011639">
      <w:pPr>
        <w:pStyle w:val="Textpoznmkypodiarou"/>
        <w:rPr>
          <w:sz w:val="16"/>
          <w:szCs w:val="16"/>
        </w:rPr>
      </w:pPr>
      <w:r>
        <w:rPr>
          <w:rStyle w:val="Odkaznavysvetlivku"/>
          <w:rFonts w:ascii="Times New Roman" w:eastAsia="Calibri" w:hAnsi="Times New Roman"/>
          <w:sz w:val="20"/>
          <w:szCs w:val="20"/>
        </w:rPr>
        <w:t>9</w:t>
      </w:r>
      <w:r>
        <w:t xml:space="preserve"> </w:t>
      </w:r>
      <w:r w:rsidRPr="00112DB0">
        <w:rPr>
          <w:sz w:val="16"/>
          <w:szCs w:val="16"/>
        </w:rPr>
        <w:t>Súdny dvor v rozsudku Hamburg poukázal na „verejné orgány“, ale podľa názoru útvarov</w:t>
      </w:r>
      <w:r>
        <w:rPr>
          <w:sz w:val="16"/>
          <w:szCs w:val="16"/>
        </w:rPr>
        <w:t xml:space="preserve"> </w:t>
      </w:r>
      <w:r w:rsidRPr="00112DB0">
        <w:rPr>
          <w:sz w:val="16"/>
          <w:szCs w:val="16"/>
        </w:rPr>
        <w:t>Komisie by takáto horizontálna spolupráca mohla byť otvorená pre všetky kategórie verejných</w:t>
      </w:r>
      <w:r>
        <w:rPr>
          <w:sz w:val="16"/>
          <w:szCs w:val="16"/>
        </w:rPr>
        <w:t xml:space="preserve"> </w:t>
      </w:r>
      <w:r w:rsidRPr="00112DB0">
        <w:rPr>
          <w:sz w:val="16"/>
          <w:szCs w:val="16"/>
        </w:rPr>
        <w:t>obstarávateľov, t. j. aj pre orgány riadené verejným právom. Na druhej strane logickým</w:t>
      </w:r>
    </w:p>
    <w:p w:rsidR="00011639" w:rsidRDefault="00011639" w:rsidP="00011639">
      <w:pPr>
        <w:pStyle w:val="Textvysvetlivky"/>
      </w:pPr>
      <w:r w:rsidRPr="00112DB0">
        <w:rPr>
          <w:sz w:val="16"/>
          <w:szCs w:val="16"/>
        </w:rPr>
        <w:t>dôsledkom kritéria</w:t>
      </w:r>
      <w:r>
        <w:rPr>
          <w:sz w:val="16"/>
          <w:szCs w:val="16"/>
        </w:rPr>
        <w:t xml:space="preserve"> je</w:t>
      </w:r>
      <w:r w:rsidRPr="00112DB0">
        <w:rPr>
          <w:sz w:val="16"/>
          <w:szCs w:val="16"/>
        </w:rPr>
        <w:t>, že do takejto horizontálnej spolupráce by sa nemal zahrnúť žiadny súkromný</w:t>
      </w:r>
      <w:r>
        <w:rPr>
          <w:sz w:val="16"/>
          <w:szCs w:val="16"/>
        </w:rPr>
        <w:t xml:space="preserve"> </w:t>
      </w:r>
      <w:r w:rsidRPr="005B0328">
        <w:rPr>
          <w:sz w:val="16"/>
          <w:szCs w:val="16"/>
        </w:rPr>
        <w:t>kapitál</w:t>
      </w:r>
      <w:r>
        <w:rPr>
          <w:sz w:val="16"/>
          <w:szCs w:val="16"/>
        </w:rPr>
        <w:t>.</w:t>
      </w:r>
    </w:p>
    <w:p w:rsidR="00011639" w:rsidRDefault="00011639" w:rsidP="00011639">
      <w:pPr>
        <w:pStyle w:val="Textvysvetlivky"/>
      </w:pPr>
      <w:r>
        <w:rPr>
          <w:rStyle w:val="Odkaznavysvetlivku"/>
        </w:rPr>
        <w:t>10</w:t>
      </w:r>
      <w:r>
        <w:t xml:space="preserve"> </w:t>
      </w:r>
      <w:r w:rsidRPr="00DC1B2E">
        <w:rPr>
          <w:rFonts w:cs="Calibri"/>
          <w:sz w:val="16"/>
          <w:szCs w:val="16"/>
        </w:rPr>
        <w:t xml:space="preserve">ITMS II je zaradený do 4. stupňa z piatich pri hodnotí pripravenosti informačných monitorovacích systémov členských krajín na </w:t>
      </w:r>
      <w:proofErr w:type="spellStart"/>
      <w:r w:rsidRPr="00DC1B2E">
        <w:rPr>
          <w:rFonts w:cs="Calibri"/>
          <w:sz w:val="16"/>
          <w:szCs w:val="16"/>
        </w:rPr>
        <w:t>eCohesion</w:t>
      </w:r>
      <w:proofErr w:type="spellEnd"/>
      <w:r w:rsidRPr="00DC1B2E">
        <w:rPr>
          <w:rFonts w:cs="Calibri"/>
          <w:sz w:val="16"/>
          <w:szCs w:val="16"/>
        </w:rPr>
        <w:t xml:space="preserve"> </w:t>
      </w:r>
      <w:proofErr w:type="spellStart"/>
      <w:r w:rsidRPr="00DC1B2E">
        <w:rPr>
          <w:rFonts w:cs="Calibri"/>
          <w:sz w:val="16"/>
          <w:szCs w:val="16"/>
        </w:rPr>
        <w:t>policy</w:t>
      </w:r>
      <w:proofErr w:type="spellEnd"/>
      <w:r w:rsidRPr="00DC1B2E">
        <w:rPr>
          <w:rFonts w:cs="Calibri"/>
          <w:sz w:val="16"/>
          <w:szCs w:val="16"/>
        </w:rPr>
        <w:t xml:space="preserve">. Hodnotenie vykonávala EK, DG </w:t>
      </w:r>
      <w:proofErr w:type="spellStart"/>
      <w:r w:rsidRPr="00DC1B2E">
        <w:rPr>
          <w:rFonts w:cs="Calibri"/>
          <w:sz w:val="16"/>
          <w:szCs w:val="16"/>
        </w:rPr>
        <w:t>Regiom</w:t>
      </w:r>
      <w:proofErr w:type="spellEnd"/>
      <w:r w:rsidRPr="00DC1B2E">
        <w:rPr>
          <w:rFonts w:cs="Calibri"/>
          <w:sz w:val="16"/>
          <w:szCs w:val="16"/>
        </w:rPr>
        <w:t>. (Zdroj: Výročná správa o vykonávaní operačného programu Technická pomoc za rok 2011. Bratislava, september 2012, str. 11).</w:t>
      </w:r>
    </w:p>
    <w:p w:rsidR="00011639" w:rsidRDefault="00011639" w:rsidP="00011639">
      <w:pPr>
        <w:pStyle w:val="Textvysvetlivky"/>
      </w:pPr>
      <w:r>
        <w:rPr>
          <w:rStyle w:val="Odkaznavysvetlivku"/>
        </w:rPr>
        <w:t>11</w:t>
      </w:r>
      <w:r>
        <w:t xml:space="preserve"> </w:t>
      </w:r>
      <w:r w:rsidRPr="00354EFD">
        <w:rPr>
          <w:rFonts w:cs="Calibri"/>
          <w:sz w:val="16"/>
          <w:szCs w:val="16"/>
        </w:rPr>
        <w:t xml:space="preserve">V zmysle čl. 59 Nariadenia európskeho parlamentu a rady (EÚ) č. 1303/2013 sa príklady aktivít uvedené pre </w:t>
      </w:r>
      <w:r>
        <w:rPr>
          <w:rFonts w:cs="Calibri"/>
          <w:sz w:val="16"/>
          <w:szCs w:val="16"/>
        </w:rPr>
        <w:t>ŠC</w:t>
      </w:r>
      <w:r w:rsidRPr="00354EFD">
        <w:rPr>
          <w:rFonts w:cs="Calibri"/>
          <w:sz w:val="16"/>
          <w:szCs w:val="16"/>
        </w:rPr>
        <w:t xml:space="preserve"> </w:t>
      </w:r>
      <w:r>
        <w:rPr>
          <w:rFonts w:cs="Calibri"/>
          <w:sz w:val="16"/>
          <w:szCs w:val="16"/>
        </w:rPr>
        <w:t>1</w:t>
      </w:r>
      <w:r w:rsidRPr="00354EFD">
        <w:rPr>
          <w:rFonts w:cs="Calibri"/>
          <w:sz w:val="16"/>
          <w:szCs w:val="16"/>
        </w:rPr>
        <w:t xml:space="preserve"> </w:t>
      </w:r>
      <w:r>
        <w:rPr>
          <w:rFonts w:cs="Calibri"/>
          <w:sz w:val="16"/>
          <w:szCs w:val="16"/>
        </w:rPr>
        <w:t xml:space="preserve">PO </w:t>
      </w:r>
      <w:r w:rsidRPr="00354EFD">
        <w:rPr>
          <w:rFonts w:cs="Calibri"/>
          <w:sz w:val="16"/>
          <w:szCs w:val="16"/>
        </w:rPr>
        <w:t>1 môžu týkať predchádzajúcich a nasledujúcich období.</w:t>
      </w:r>
    </w:p>
    <w:p w:rsidR="00011639" w:rsidRDefault="00011639" w:rsidP="00011639">
      <w:pPr>
        <w:pStyle w:val="Textvysvetlivky"/>
      </w:pPr>
      <w:r>
        <w:rPr>
          <w:rStyle w:val="Odkaznavysvetlivku"/>
        </w:rPr>
        <w:t>12</w:t>
      </w:r>
      <w:r>
        <w:t xml:space="preserve"> </w:t>
      </w:r>
      <w:r w:rsidRPr="00354EFD">
        <w:rPr>
          <w:rFonts w:cs="Calibri"/>
          <w:sz w:val="16"/>
          <w:szCs w:val="16"/>
        </w:rPr>
        <w:t xml:space="preserve">V zmysle čl. 59 Nariadenia európskeho parlamentu a rady (EÚ) č. 1303/2013 sa príklady aktivít uvedené pre </w:t>
      </w:r>
      <w:r>
        <w:rPr>
          <w:rFonts w:cs="Calibri"/>
          <w:sz w:val="16"/>
          <w:szCs w:val="16"/>
        </w:rPr>
        <w:t>ŠC</w:t>
      </w:r>
      <w:r w:rsidRPr="00354EFD">
        <w:rPr>
          <w:rFonts w:cs="Calibri"/>
          <w:sz w:val="16"/>
          <w:szCs w:val="16"/>
        </w:rPr>
        <w:t xml:space="preserve"> 2 </w:t>
      </w:r>
      <w:r>
        <w:rPr>
          <w:rFonts w:cs="Calibri"/>
          <w:sz w:val="16"/>
          <w:szCs w:val="16"/>
        </w:rPr>
        <w:t>PO</w:t>
      </w:r>
      <w:r w:rsidRPr="00354EFD">
        <w:rPr>
          <w:rFonts w:cs="Calibri"/>
          <w:sz w:val="16"/>
          <w:szCs w:val="16"/>
        </w:rPr>
        <w:t xml:space="preserve"> 1 môžu týkať predchádzajúcich a nasledujúcich období.</w:t>
      </w:r>
    </w:p>
    <w:p w:rsidR="00011639" w:rsidRDefault="00011639" w:rsidP="00011639">
      <w:pPr>
        <w:pStyle w:val="Textvysvetlivky"/>
      </w:pPr>
      <w:r>
        <w:rPr>
          <w:rStyle w:val="Odkaznavysvetlivku"/>
        </w:rPr>
        <w:t>13</w:t>
      </w:r>
      <w:r>
        <w:t xml:space="preserve"> </w:t>
      </w:r>
      <w:r w:rsidRPr="00354EFD">
        <w:rPr>
          <w:rFonts w:cs="Calibri"/>
          <w:sz w:val="16"/>
          <w:szCs w:val="16"/>
        </w:rPr>
        <w:t xml:space="preserve">V zmysle čl. 59 Nariadenia európskeho parlamentu a rady (EÚ) č. 1303/2013 sa príklady aktivít uvedené pre </w:t>
      </w:r>
      <w:r>
        <w:rPr>
          <w:rFonts w:cs="Calibri"/>
          <w:sz w:val="16"/>
          <w:szCs w:val="16"/>
        </w:rPr>
        <w:t>ŠC</w:t>
      </w:r>
      <w:r w:rsidRPr="00354EFD">
        <w:rPr>
          <w:rFonts w:cs="Calibri"/>
          <w:sz w:val="16"/>
          <w:szCs w:val="16"/>
        </w:rPr>
        <w:t xml:space="preserve"> </w:t>
      </w:r>
      <w:r>
        <w:rPr>
          <w:rFonts w:cs="Calibri"/>
          <w:sz w:val="16"/>
          <w:szCs w:val="16"/>
        </w:rPr>
        <w:t>3</w:t>
      </w:r>
      <w:r w:rsidRPr="00354EFD">
        <w:rPr>
          <w:rFonts w:cs="Calibri"/>
          <w:sz w:val="16"/>
          <w:szCs w:val="16"/>
        </w:rPr>
        <w:t xml:space="preserve"> </w:t>
      </w:r>
      <w:r>
        <w:rPr>
          <w:rFonts w:cs="Calibri"/>
          <w:sz w:val="16"/>
          <w:szCs w:val="16"/>
        </w:rPr>
        <w:t>PO</w:t>
      </w:r>
      <w:r w:rsidRPr="00354EFD">
        <w:rPr>
          <w:rFonts w:cs="Calibri"/>
          <w:sz w:val="16"/>
          <w:szCs w:val="16"/>
        </w:rPr>
        <w:t xml:space="preserve"> 1 môžu týkať predchádzajúcich a nasledujúcich období.</w:t>
      </w:r>
    </w:p>
    <w:p w:rsidR="00011639" w:rsidRDefault="00011639" w:rsidP="00011639">
      <w:pPr>
        <w:pStyle w:val="Textvysvetlivky"/>
      </w:pPr>
      <w:r>
        <w:rPr>
          <w:rStyle w:val="Odkaznavysvetlivku"/>
        </w:rPr>
        <w:t>14</w:t>
      </w:r>
      <w:r>
        <w:t xml:space="preserve"> </w:t>
      </w:r>
      <w:r w:rsidRPr="00354EFD">
        <w:rPr>
          <w:rFonts w:cs="Calibri"/>
          <w:sz w:val="16"/>
          <w:szCs w:val="16"/>
        </w:rPr>
        <w:t xml:space="preserve">V zmysle čl. 59 Nariadenia európskeho parlamentu a rady (EÚ) č. 1303/2013 sa príklady aktivít uvedené pre </w:t>
      </w:r>
      <w:r>
        <w:rPr>
          <w:rFonts w:cs="Calibri"/>
          <w:sz w:val="16"/>
          <w:szCs w:val="16"/>
        </w:rPr>
        <w:t>ŠC</w:t>
      </w:r>
      <w:r w:rsidRPr="00354EFD">
        <w:rPr>
          <w:rFonts w:cs="Calibri"/>
          <w:sz w:val="16"/>
          <w:szCs w:val="16"/>
        </w:rPr>
        <w:t xml:space="preserve"> </w:t>
      </w:r>
      <w:r>
        <w:rPr>
          <w:rFonts w:cs="Calibri"/>
          <w:sz w:val="16"/>
          <w:szCs w:val="16"/>
        </w:rPr>
        <w:t>1</w:t>
      </w:r>
      <w:r w:rsidRPr="00354EFD">
        <w:rPr>
          <w:rFonts w:cs="Calibri"/>
          <w:sz w:val="16"/>
          <w:szCs w:val="16"/>
        </w:rPr>
        <w:t xml:space="preserve"> </w:t>
      </w:r>
      <w:r>
        <w:rPr>
          <w:rFonts w:cs="Calibri"/>
          <w:sz w:val="16"/>
          <w:szCs w:val="16"/>
        </w:rPr>
        <w:t>PO</w:t>
      </w:r>
      <w:r w:rsidRPr="00354EFD">
        <w:rPr>
          <w:rFonts w:cs="Calibri"/>
          <w:sz w:val="16"/>
          <w:szCs w:val="16"/>
        </w:rPr>
        <w:t xml:space="preserve"> </w:t>
      </w:r>
      <w:r>
        <w:rPr>
          <w:rFonts w:cs="Calibri"/>
          <w:sz w:val="16"/>
          <w:szCs w:val="16"/>
        </w:rPr>
        <w:t>2</w:t>
      </w:r>
      <w:r w:rsidRPr="00354EFD">
        <w:rPr>
          <w:rFonts w:cs="Calibri"/>
          <w:sz w:val="16"/>
          <w:szCs w:val="16"/>
        </w:rPr>
        <w:t xml:space="preserve"> môžu týkať predchádzajúcich a nasledujúcich programových období.</w:t>
      </w:r>
    </w:p>
    <w:p w:rsidR="00011639" w:rsidRDefault="00011639" w:rsidP="00011639">
      <w:pPr>
        <w:pStyle w:val="Textvysvetlivky"/>
      </w:pPr>
      <w:r>
        <w:rPr>
          <w:rStyle w:val="Odkaznavysvetlivku"/>
        </w:rPr>
        <w:t>15</w:t>
      </w:r>
      <w:r>
        <w:t xml:space="preserve"> </w:t>
      </w:r>
      <w:r w:rsidRPr="00F34720">
        <w:rPr>
          <w:sz w:val="16"/>
          <w:szCs w:val="16"/>
        </w:rPr>
        <w:t>Zdroj: Partnerská dohoda SR na roky 2014 -2020</w:t>
      </w:r>
    </w:p>
    <w:p w:rsidR="00011639" w:rsidRDefault="00011639" w:rsidP="00011639">
      <w:pPr>
        <w:pStyle w:val="Textvysvetlivky"/>
        <w:rPr>
          <w:sz w:val="16"/>
          <w:szCs w:val="16"/>
        </w:rPr>
      </w:pPr>
      <w:r>
        <w:rPr>
          <w:rStyle w:val="Odkaznavysvetlivku"/>
        </w:rPr>
        <w:t>16</w:t>
      </w:r>
      <w:r>
        <w:t xml:space="preserve"> </w:t>
      </w:r>
      <w:r w:rsidRPr="00C40390">
        <w:rPr>
          <w:sz w:val="16"/>
          <w:szCs w:val="16"/>
        </w:rPr>
        <w:t>Analýza administratívnych kapacít (AK) a efektívnosti subjektov</w:t>
      </w:r>
      <w:r>
        <w:rPr>
          <w:sz w:val="16"/>
          <w:szCs w:val="16"/>
        </w:rPr>
        <w:t xml:space="preserve"> </w:t>
      </w:r>
      <w:r w:rsidRPr="00C40390">
        <w:rPr>
          <w:sz w:val="16"/>
          <w:szCs w:val="16"/>
        </w:rPr>
        <w:t>zodpovedných za európske štrukturálne a investičné fondy a AK prijímateľov pomoci</w:t>
      </w:r>
      <w:r>
        <w:rPr>
          <w:sz w:val="16"/>
          <w:szCs w:val="16"/>
        </w:rPr>
        <w:t>, zdroj: Centrálny koordinačný orgán</w:t>
      </w:r>
    </w:p>
    <w:p w:rsidR="00011639" w:rsidRPr="00112DB0" w:rsidRDefault="00011639" w:rsidP="00011639">
      <w:pPr>
        <w:pStyle w:val="Textpoznmkypodiarou"/>
        <w:rPr>
          <w:sz w:val="16"/>
          <w:szCs w:val="16"/>
        </w:rPr>
      </w:pPr>
      <w:r>
        <w:rPr>
          <w:rStyle w:val="Odkaznavysvetlivku"/>
          <w:rFonts w:ascii="Times New Roman" w:eastAsia="Calibri" w:hAnsi="Times New Roman"/>
          <w:sz w:val="20"/>
          <w:szCs w:val="20"/>
        </w:rPr>
        <w:t>17</w:t>
      </w:r>
      <w:r w:rsidRPr="00CF69CC">
        <w:rPr>
          <w:rStyle w:val="Odkaznavysvetlivku"/>
          <w:rFonts w:ascii="Times New Roman" w:eastAsia="Calibri" w:hAnsi="Times New Roman"/>
          <w:sz w:val="20"/>
          <w:szCs w:val="20"/>
        </w:rPr>
        <w:t xml:space="preserve"> </w:t>
      </w:r>
      <w:hyperlink r:id="rId7" w:history="1">
        <w:r w:rsidRPr="00112DB0">
          <w:rPr>
            <w:rStyle w:val="Hypertextovprepojenie"/>
            <w:sz w:val="16"/>
            <w:szCs w:val="16"/>
          </w:rPr>
          <w:t>http://eu2020.gov.sk/narodny-program-reforiem-sr/</w:t>
        </w:r>
      </w:hyperlink>
    </w:p>
    <w:p w:rsidR="00011639" w:rsidRDefault="00011639" w:rsidP="00011639">
      <w:pPr>
        <w:pStyle w:val="Textvysvetlivky"/>
      </w:pPr>
      <w:r>
        <w:rPr>
          <w:sz w:val="16"/>
          <w:szCs w:val="16"/>
        </w:rPr>
        <w:tab/>
      </w:r>
      <w:hyperlink r:id="rId8" w:history="1">
        <w:r w:rsidRPr="00112DB0">
          <w:rPr>
            <w:rStyle w:val="Hypertextovprepojenie"/>
            <w:sz w:val="16"/>
            <w:szCs w:val="16"/>
          </w:rPr>
          <w:t>http://eu2020.gov.sk/strategia-europa-2020/</w:t>
        </w:r>
      </w:hyperlink>
    </w:p>
    <w:p w:rsidR="00011639" w:rsidRDefault="00011639" w:rsidP="00011639">
      <w:pPr>
        <w:pStyle w:val="Textvysvetlivky"/>
      </w:pPr>
      <w:r>
        <w:rPr>
          <w:rStyle w:val="Odkaznavysvetlivku"/>
        </w:rPr>
        <w:t>18</w:t>
      </w:r>
      <w:r>
        <w:t xml:space="preserve"> </w:t>
      </w:r>
      <w:r w:rsidRPr="00C573C9">
        <w:rPr>
          <w:sz w:val="16"/>
          <w:szCs w:val="16"/>
        </w:rPr>
        <w:t>delegované nariadenie Komisie (EÚ) č. 240/2014 zo 7. januára 2014 o európskom kódexe správania pre partnerov v rámci Európskych štrukturálnych a investičných fondov</w:t>
      </w:r>
    </w:p>
    <w:p w:rsidR="00011639" w:rsidRDefault="00011639" w:rsidP="00011639">
      <w:pPr>
        <w:pStyle w:val="Textvysvetlivky"/>
      </w:pPr>
      <w:r>
        <w:rPr>
          <w:rStyle w:val="Odkaznavysvetlivku"/>
        </w:rPr>
        <w:t>19</w:t>
      </w:r>
      <w:r>
        <w:t xml:space="preserve"> </w:t>
      </w:r>
      <w:r w:rsidRPr="00E90894">
        <w:rPr>
          <w:sz w:val="18"/>
        </w:rPr>
        <w:t>pre účely tejto kapitoly sa pojmom „prijímateľ“ rozumie aj „žiadateľ“ a „potenciálny žiadateľ“, pre ktorých sú taktiež určené navrhované opatrenia na zníženie administratívnej náročnosti</w:t>
      </w:r>
    </w:p>
    <w:p w:rsidR="00011639" w:rsidRDefault="00011639" w:rsidP="00011639">
      <w:pPr>
        <w:pStyle w:val="Textvysvetlivky"/>
      </w:pPr>
      <w:r>
        <w:rPr>
          <w:rStyle w:val="Odkaznavysvetlivku"/>
        </w:rPr>
        <w:t>20</w:t>
      </w:r>
      <w:r>
        <w:t xml:space="preserve"> </w:t>
      </w:r>
      <w:r w:rsidRPr="00E90894">
        <w:rPr>
          <w:sz w:val="18"/>
        </w:rPr>
        <w:t>skúseností Centrálneho koordinačného orgánu a jednotlivých subjektov zapojených do implementácie pomoci zo ŠF a KF v programovom období 2007 – 2013 vrátane poučení identifikovaných na základe viacerých analýz administratívnej náročnosti vykonaných v programovom o</w:t>
      </w:r>
      <w:r>
        <w:rPr>
          <w:sz w:val="18"/>
        </w:rPr>
        <w:t>bdobí 2007 – 2013 zo strany CKO</w:t>
      </w:r>
    </w:p>
    <w:p w:rsidR="00011639" w:rsidRDefault="00011639" w:rsidP="00011639">
      <w:pPr>
        <w:pStyle w:val="Textvysvetlivky"/>
      </w:pPr>
      <w:r>
        <w:rPr>
          <w:rStyle w:val="Odkaznavysvetlivku"/>
        </w:rPr>
        <w:t>21</w:t>
      </w:r>
      <w:r>
        <w:t xml:space="preserve"> </w:t>
      </w:r>
      <w:r w:rsidRPr="00E90894">
        <w:rPr>
          <w:sz w:val="18"/>
        </w:rPr>
        <w:t>mimoriadnym ukončením projektu sa rozumie situácia, kedy projekt nie je ukončený riadne a/alebo včas v zmysle Zmluvy o poskytnutí NFP</w:t>
      </w:r>
      <w:r>
        <w:rPr>
          <w:sz w:val="18"/>
        </w:rPr>
        <w:t>, resp. Rozhodnutia o schválení projektu</w:t>
      </w:r>
    </w:p>
    <w:p w:rsidR="00011639" w:rsidRDefault="00011639" w:rsidP="00011639">
      <w:pPr>
        <w:pStyle w:val="Textvysvetlivky"/>
      </w:pPr>
      <w:r>
        <w:rPr>
          <w:rStyle w:val="Odkaznavysvetlivku"/>
        </w:rPr>
        <w:t>22</w:t>
      </w:r>
      <w:r>
        <w:t xml:space="preserve"> </w:t>
      </w:r>
      <w:r w:rsidRPr="005F22CB">
        <w:rPr>
          <w:sz w:val="18"/>
          <w:szCs w:val="18"/>
        </w:rPr>
        <w:t>Zelené verejné obstarávanie predstavuje jeden z významných nástrojov novej politiky verejného obstarávania na národnej úrovni, ktorý bude zavedený v rámci reformy verejnej správy. Táto problematika je súčasťou</w:t>
      </w:r>
      <w:r>
        <w:rPr>
          <w:sz w:val="18"/>
          <w:szCs w:val="18"/>
        </w:rPr>
        <w:t xml:space="preserve"> </w:t>
      </w:r>
      <w:r w:rsidRPr="005F22CB">
        <w:rPr>
          <w:sz w:val="18"/>
          <w:szCs w:val="18"/>
        </w:rPr>
        <w:t>rezortných cieľov MŽP SR, keďže podpora využívania zeleného verejného obstarávania na výber produktov so zníženým negatívnym vplyvom na životné prostredie môže významným spôsobom prispieť k plneniu miestnych, regionálnych, národných a medzinárodných environmentálnych cieľov.</w:t>
      </w:r>
    </w:p>
    <w:p w:rsidR="00011639" w:rsidRDefault="00011639" w:rsidP="00011639">
      <w:pPr>
        <w:pStyle w:val="Textvysvetlivky"/>
      </w:pPr>
      <w:r>
        <w:rPr>
          <w:rStyle w:val="Odkaznavysvetlivku"/>
        </w:rPr>
        <w:t>23</w:t>
      </w:r>
      <w:r>
        <w:t xml:space="preserve"> </w:t>
      </w:r>
      <w:hyperlink r:id="rId9" w:history="1">
        <w:r w:rsidRPr="005F22CB">
          <w:rPr>
            <w:rStyle w:val="Hypertextovprepojenie"/>
            <w:sz w:val="18"/>
            <w:szCs w:val="18"/>
          </w:rPr>
          <w:t>http://www.rokovania.sk/File.aspx/ViewDocumentHtml/Mater-Dokum-141217?prefixFile=m</w:t>
        </w:r>
      </w:hyperlink>
    </w:p>
    <w:p w:rsidR="00011639" w:rsidRPr="00297EE1" w:rsidRDefault="00011639" w:rsidP="00011639">
      <w:pPr>
        <w:pStyle w:val="Textpoznmkypodiarou"/>
        <w:rPr>
          <w:sz w:val="16"/>
          <w:szCs w:val="16"/>
        </w:rPr>
      </w:pPr>
      <w:r>
        <w:rPr>
          <w:rStyle w:val="Odkaznavysvetlivku"/>
          <w:rFonts w:ascii="Times New Roman" w:eastAsia="Calibri" w:hAnsi="Times New Roman"/>
          <w:sz w:val="20"/>
          <w:szCs w:val="20"/>
        </w:rPr>
        <w:t>24</w:t>
      </w:r>
      <w:r>
        <w:t xml:space="preserve"> </w:t>
      </w:r>
      <w:r w:rsidRPr="00112DB0">
        <w:rPr>
          <w:sz w:val="16"/>
          <w:szCs w:val="16"/>
        </w:rPr>
        <w:t xml:space="preserve">Identifikácia disparít vychádza z dokumentu </w:t>
      </w:r>
      <w:r>
        <w:rPr>
          <w:sz w:val="16"/>
          <w:szCs w:val="16"/>
        </w:rPr>
        <w:t>„</w:t>
      </w:r>
      <w:r w:rsidRPr="00297EE1">
        <w:rPr>
          <w:sz w:val="16"/>
          <w:szCs w:val="16"/>
        </w:rPr>
        <w:t>Analýza administratívnych kapacít (AK) a efektívnosti subjektov</w:t>
      </w:r>
    </w:p>
    <w:p w:rsidR="00011639" w:rsidRDefault="00011639" w:rsidP="00011639">
      <w:pPr>
        <w:pStyle w:val="Textvysvetlivky"/>
      </w:pPr>
      <w:r w:rsidRPr="00297EE1">
        <w:rPr>
          <w:sz w:val="16"/>
          <w:szCs w:val="16"/>
        </w:rPr>
        <w:t>zodpovedných za európske štrukturálne a investičné fondy a AK prijímateľov pomoci</w:t>
      </w:r>
      <w:r>
        <w:rPr>
          <w:sz w:val="16"/>
          <w:szCs w:val="16"/>
        </w:rPr>
        <w:t xml:space="preserve">“ a </w:t>
      </w:r>
      <w:r w:rsidRPr="00112DB0">
        <w:rPr>
          <w:sz w:val="16"/>
          <w:szCs w:val="16"/>
        </w:rPr>
        <w:t>„Pozícia CKO k Pozičnému dokumentu Komisie k vypracovaniu Partnerskej dohody a programov na Slovensku na roky 2014 – 2020, časť C. Pozičného dokumentu: Administratívne dohody“</w:t>
      </w:r>
    </w:p>
    <w:p w:rsidR="00F2777A" w:rsidRDefault="00011639" w:rsidP="00011639">
      <w:r>
        <w:rPr>
          <w:rStyle w:val="Odkaznavysvetlivku"/>
        </w:rPr>
        <w:t>25</w:t>
      </w:r>
      <w:r>
        <w:t xml:space="preserve"> </w:t>
      </w:r>
      <w:r w:rsidRPr="00FC0109">
        <w:rPr>
          <w:sz w:val="16"/>
          <w:szCs w:val="16"/>
        </w:rPr>
        <w:t>podľa analýzy AK –</w:t>
      </w:r>
      <w:r>
        <w:rPr>
          <w:sz w:val="16"/>
          <w:szCs w:val="16"/>
        </w:rPr>
        <w:t xml:space="preserve"> zdroj</w:t>
      </w:r>
      <w:r w:rsidRPr="00FC0109">
        <w:rPr>
          <w:sz w:val="16"/>
          <w:szCs w:val="16"/>
        </w:rPr>
        <w:t xml:space="preserve"> KPMG</w:t>
      </w:r>
      <w:r>
        <w:rPr>
          <w:sz w:val="16"/>
          <w:szCs w:val="16"/>
        </w:rPr>
        <w:t xml:space="preserve">, a podľa materiálu </w:t>
      </w:r>
      <w:r w:rsidRPr="00011BCB">
        <w:rPr>
          <w:sz w:val="16"/>
          <w:szCs w:val="16"/>
        </w:rPr>
        <w:t>Štruktúra subjektov implementácie európskych štrukturálnych a investičných fondov na programové obdobie 2014 – 2020 a zabezpečenie administratívnych kapacít do roku 2016</w:t>
      </w:r>
      <w:r>
        <w:rPr>
          <w:sz w:val="16"/>
          <w:szCs w:val="16"/>
        </w:rPr>
        <w:t xml:space="preserve"> – zdroj CKO</w:t>
      </w:r>
    </w:p>
    <w:sectPr w:rsidR="00F2777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333000"/>
    <w:multiLevelType w:val="multilevel"/>
    <w:tmpl w:val="D426374C"/>
    <w:lvl w:ilvl="0">
      <w:start w:val="1"/>
      <w:numFmt w:val="decimal"/>
      <w:lvlText w:val="%1."/>
      <w:lvlJc w:val="left"/>
      <w:pPr>
        <w:ind w:left="644"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i w:val="0"/>
        <w:color w:val="4F81BD"/>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639"/>
    <w:rsid w:val="00011639"/>
    <w:rsid w:val="007D042B"/>
    <w:rsid w:val="009B2370"/>
    <w:rsid w:val="00F2777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011639"/>
    <w:pPr>
      <w:spacing w:after="120" w:line="240" w:lineRule="auto"/>
      <w:jc w:val="both"/>
    </w:pPr>
    <w:rPr>
      <w:rFonts w:ascii="Times New Roman" w:eastAsia="Calibri" w:hAnsi="Times New Roman" w:cs="Times New Roman"/>
      <w:sz w:val="24"/>
    </w:rPr>
  </w:style>
  <w:style w:type="paragraph" w:styleId="Nadpis2">
    <w:name w:val="heading 2"/>
    <w:aliases w:val="02_Heading 2"/>
    <w:basedOn w:val="Normlny"/>
    <w:next w:val="Normlny"/>
    <w:link w:val="Nadpis2Char"/>
    <w:unhideWhenUsed/>
    <w:qFormat/>
    <w:rsid w:val="00011639"/>
    <w:pPr>
      <w:keepNext/>
      <w:keepLines/>
      <w:spacing w:before="200" w:after="0"/>
      <w:outlineLvl w:val="1"/>
    </w:pPr>
    <w:rPr>
      <w:rFonts w:eastAsia="Times New Roman"/>
      <w:b/>
      <w:bCs/>
      <w:color w:val="4F81BD"/>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unhideWhenUsed/>
    <w:rsid w:val="00011639"/>
    <w:rPr>
      <w:color w:val="0000FF"/>
      <w:u w:val="single"/>
    </w:rPr>
  </w:style>
  <w:style w:type="paragraph" w:styleId="Textvysvetlivky">
    <w:name w:val="endnote text"/>
    <w:basedOn w:val="Normlny"/>
    <w:link w:val="TextvysvetlivkyChar"/>
    <w:uiPriority w:val="99"/>
    <w:semiHidden/>
    <w:unhideWhenUsed/>
    <w:rsid w:val="00011639"/>
    <w:pPr>
      <w:spacing w:after="0"/>
    </w:pPr>
    <w:rPr>
      <w:sz w:val="20"/>
      <w:szCs w:val="20"/>
    </w:rPr>
  </w:style>
  <w:style w:type="character" w:customStyle="1" w:styleId="TextvysvetlivkyChar">
    <w:name w:val="Text vysvetlivky Char"/>
    <w:basedOn w:val="Predvolenpsmoodseku"/>
    <w:link w:val="Textvysvetlivky"/>
    <w:uiPriority w:val="99"/>
    <w:semiHidden/>
    <w:rsid w:val="00011639"/>
    <w:rPr>
      <w:rFonts w:ascii="Times New Roman" w:eastAsia="Calibri" w:hAnsi="Times New Roman" w:cs="Times New Roman"/>
      <w:sz w:val="20"/>
      <w:szCs w:val="20"/>
    </w:rPr>
  </w:style>
  <w:style w:type="character" w:styleId="Odkaznavysvetlivku">
    <w:name w:val="endnote reference"/>
    <w:uiPriority w:val="99"/>
    <w:semiHidden/>
    <w:unhideWhenUsed/>
    <w:rsid w:val="00011639"/>
    <w:rPr>
      <w:vertAlign w:val="superscript"/>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011639"/>
    <w:pPr>
      <w:spacing w:after="0"/>
    </w:pPr>
    <w:rPr>
      <w:rFonts w:ascii="Calibri" w:eastAsia="Times New Roman" w:hAnsi="Calibri"/>
      <w:szCs w:val="24"/>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rsid w:val="00011639"/>
    <w:rPr>
      <w:rFonts w:ascii="Calibri" w:eastAsia="Times New Roman" w:hAnsi="Calibri" w:cs="Times New Roman"/>
      <w:sz w:val="24"/>
      <w:szCs w:val="24"/>
    </w:rPr>
  </w:style>
  <w:style w:type="character" w:customStyle="1" w:styleId="Nadpis2Char">
    <w:name w:val="Nadpis 2 Char"/>
    <w:aliases w:val="02_Heading 2 Char"/>
    <w:basedOn w:val="Predvolenpsmoodseku"/>
    <w:link w:val="Nadpis2"/>
    <w:rsid w:val="00011639"/>
    <w:rPr>
      <w:rFonts w:ascii="Times New Roman" w:eastAsia="Times New Roman" w:hAnsi="Times New Roman" w:cs="Times New Roman"/>
      <w:b/>
      <w:bCs/>
      <w:color w:val="4F81BD"/>
      <w:sz w:val="24"/>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011639"/>
    <w:pPr>
      <w:spacing w:after="120" w:line="240" w:lineRule="auto"/>
      <w:jc w:val="both"/>
    </w:pPr>
    <w:rPr>
      <w:rFonts w:ascii="Times New Roman" w:eastAsia="Calibri" w:hAnsi="Times New Roman" w:cs="Times New Roman"/>
      <w:sz w:val="24"/>
    </w:rPr>
  </w:style>
  <w:style w:type="paragraph" w:styleId="Nadpis2">
    <w:name w:val="heading 2"/>
    <w:aliases w:val="02_Heading 2"/>
    <w:basedOn w:val="Normlny"/>
    <w:next w:val="Normlny"/>
    <w:link w:val="Nadpis2Char"/>
    <w:unhideWhenUsed/>
    <w:qFormat/>
    <w:rsid w:val="00011639"/>
    <w:pPr>
      <w:keepNext/>
      <w:keepLines/>
      <w:spacing w:before="200" w:after="0"/>
      <w:outlineLvl w:val="1"/>
    </w:pPr>
    <w:rPr>
      <w:rFonts w:eastAsia="Times New Roman"/>
      <w:b/>
      <w:bCs/>
      <w:color w:val="4F81BD"/>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unhideWhenUsed/>
    <w:rsid w:val="00011639"/>
    <w:rPr>
      <w:color w:val="0000FF"/>
      <w:u w:val="single"/>
    </w:rPr>
  </w:style>
  <w:style w:type="paragraph" w:styleId="Textvysvetlivky">
    <w:name w:val="endnote text"/>
    <w:basedOn w:val="Normlny"/>
    <w:link w:val="TextvysvetlivkyChar"/>
    <w:uiPriority w:val="99"/>
    <w:semiHidden/>
    <w:unhideWhenUsed/>
    <w:rsid w:val="00011639"/>
    <w:pPr>
      <w:spacing w:after="0"/>
    </w:pPr>
    <w:rPr>
      <w:sz w:val="20"/>
      <w:szCs w:val="20"/>
    </w:rPr>
  </w:style>
  <w:style w:type="character" w:customStyle="1" w:styleId="TextvysvetlivkyChar">
    <w:name w:val="Text vysvetlivky Char"/>
    <w:basedOn w:val="Predvolenpsmoodseku"/>
    <w:link w:val="Textvysvetlivky"/>
    <w:uiPriority w:val="99"/>
    <w:semiHidden/>
    <w:rsid w:val="00011639"/>
    <w:rPr>
      <w:rFonts w:ascii="Times New Roman" w:eastAsia="Calibri" w:hAnsi="Times New Roman" w:cs="Times New Roman"/>
      <w:sz w:val="20"/>
      <w:szCs w:val="20"/>
    </w:rPr>
  </w:style>
  <w:style w:type="character" w:styleId="Odkaznavysvetlivku">
    <w:name w:val="endnote reference"/>
    <w:uiPriority w:val="99"/>
    <w:semiHidden/>
    <w:unhideWhenUsed/>
    <w:rsid w:val="00011639"/>
    <w:rPr>
      <w:vertAlign w:val="superscript"/>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011639"/>
    <w:pPr>
      <w:spacing w:after="0"/>
    </w:pPr>
    <w:rPr>
      <w:rFonts w:ascii="Calibri" w:eastAsia="Times New Roman" w:hAnsi="Calibri"/>
      <w:szCs w:val="24"/>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rsid w:val="00011639"/>
    <w:rPr>
      <w:rFonts w:ascii="Calibri" w:eastAsia="Times New Roman" w:hAnsi="Calibri" w:cs="Times New Roman"/>
      <w:sz w:val="24"/>
      <w:szCs w:val="24"/>
    </w:rPr>
  </w:style>
  <w:style w:type="character" w:customStyle="1" w:styleId="Nadpis2Char">
    <w:name w:val="Nadpis 2 Char"/>
    <w:aliases w:val="02_Heading 2 Char"/>
    <w:basedOn w:val="Predvolenpsmoodseku"/>
    <w:link w:val="Nadpis2"/>
    <w:rsid w:val="00011639"/>
    <w:rPr>
      <w:rFonts w:ascii="Times New Roman" w:eastAsia="Times New Roman" w:hAnsi="Times New Roman" w:cs="Times New Roman"/>
      <w:b/>
      <w:bCs/>
      <w:color w:val="4F81BD"/>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2020.gov.sk/strategia-europa-2020/" TargetMode="External"/><Relationship Id="rId3" Type="http://schemas.microsoft.com/office/2007/relationships/stylesWithEffects" Target="stylesWithEffects.xml"/><Relationship Id="rId7" Type="http://schemas.openxmlformats.org/officeDocument/2006/relationships/hyperlink" Target="http://eu2020.gov.sk/narodny-program-reforiem-s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vlada.gov.sk/aktivity-podporovane-z-op-tp/"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okovania.sk/File.aspx/ViewDocumentHtml/Mater-Dokum-141217?prefixFile=m_"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859</Words>
  <Characters>4901</Characters>
  <Application>Microsoft Office Word</Application>
  <DocSecurity>0</DocSecurity>
  <Lines>40</Lines>
  <Paragraphs>11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Niňaj Tomáš</dc:creator>
  <cp:lastModifiedBy>Niňaj Tomáš</cp:lastModifiedBy>
  <cp:revision>2</cp:revision>
  <dcterms:created xsi:type="dcterms:W3CDTF">2014-11-18T20:10:00Z</dcterms:created>
  <dcterms:modified xsi:type="dcterms:W3CDTF">2014-11-18T20:45:00Z</dcterms:modified>
</cp:coreProperties>
</file>